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7" w:rsidRPr="00311817" w:rsidRDefault="00311817" w:rsidP="00311817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ПОЛОЖЕНИЕ</w:t>
      </w:r>
    </w:p>
    <w:p w:rsidR="00311817" w:rsidRPr="00311817" w:rsidRDefault="00311817" w:rsidP="00311817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о </w:t>
      </w:r>
      <w:proofErr w:type="spellStart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бракеражной</w:t>
      </w:r>
      <w:proofErr w:type="spellEnd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комиссии</w:t>
      </w:r>
    </w:p>
    <w:p w:rsidR="00311817" w:rsidRPr="00311817" w:rsidRDefault="00311817" w:rsidP="00311817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КГУ «</w:t>
      </w:r>
      <w:proofErr w:type="spellStart"/>
      <w:r w:rsidR="00F92CA1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Игликской</w:t>
      </w:r>
      <w:proofErr w:type="spellEnd"/>
      <w:r w:rsidR="00F92CA1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основной</w:t>
      </w:r>
      <w:r w:rsidR="00F92CA1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r w:rsidR="00F92CA1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школы</w:t>
      </w:r>
      <w:r w:rsidR="00F92CA1"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 </w:t>
      </w:r>
      <w:r w:rsidR="00F92CA1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="00F92CA1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им.Ы.Алтынсарина</w:t>
      </w:r>
      <w:proofErr w:type="spellEnd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отдела образования</w:t>
      </w:r>
    </w:p>
    <w:p w:rsidR="00311817" w:rsidRPr="00311817" w:rsidRDefault="00311817" w:rsidP="00311817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Есильского</w:t>
      </w:r>
      <w:proofErr w:type="spellEnd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района </w:t>
      </w:r>
      <w:proofErr w:type="spellStart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Акмолинской</w:t>
      </w:r>
      <w:proofErr w:type="spellEnd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области»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1. Общие положения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школе создается и действует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бракеражная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комиссия.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1.2.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Бракеражная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комиссия работает в тесном контакте с администрацией школы.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2. Порядок создания </w:t>
      </w:r>
      <w:proofErr w:type="spellStart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бракеражной</w:t>
      </w:r>
      <w:proofErr w:type="spellEnd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комисс</w:t>
      </w:r>
      <w:proofErr w:type="gramStart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ии и ее</w:t>
      </w:r>
      <w:proofErr w:type="gramEnd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состав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2.1. Состав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бракеражной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комиссии, сроки ее полномочий утверждаются приказом директора школы.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2.2.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Бракеражная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комиссия состоит не менее 4-членов. В состав комиссии входят:</w:t>
      </w:r>
    </w:p>
    <w:p w:rsidR="00311817" w:rsidRPr="00311817" w:rsidRDefault="00311817" w:rsidP="00311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Заместитель директора по ВР;</w:t>
      </w:r>
    </w:p>
    <w:p w:rsidR="00311817" w:rsidRPr="00311817" w:rsidRDefault="00311817" w:rsidP="00311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медицинский работник;</w:t>
      </w:r>
    </w:p>
    <w:p w:rsidR="00311817" w:rsidRPr="00311817" w:rsidRDefault="00311817" w:rsidP="00311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работник пищевого блока;</w:t>
      </w:r>
    </w:p>
    <w:p w:rsidR="00311817" w:rsidRPr="00311817" w:rsidRDefault="00311817" w:rsidP="00311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завхоз;</w:t>
      </w:r>
    </w:p>
    <w:p w:rsidR="00311817" w:rsidRPr="00311817" w:rsidRDefault="00311817" w:rsidP="00311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член родительского комитета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3. Полномочия комиссии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Бракеражная</w:t>
      </w:r>
      <w:proofErr w:type="spellEnd"/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комиссия школы: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ежедневно следит за правильностью составления меню;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контролирует организацию работы на пищеблоке;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следит за соблюдением правил личной гигиены работниками пищеблока;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периодически присутствует при закладке основных продуктов, проверяет выход блюд;</w:t>
      </w:r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gram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311817" w:rsidRPr="00311817" w:rsidRDefault="00311817" w:rsidP="00311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lastRenderedPageBreak/>
        <w:t>4. Оценка организации питания в школе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бракеражном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бракеражная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бракеражный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журнал.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311817" w:rsidRPr="00311817" w:rsidRDefault="00311817" w:rsidP="00311817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4.4. Администрация школы обязана содействовать деятельности </w:t>
      </w:r>
      <w:proofErr w:type="spellStart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бракеражной</w:t>
      </w:r>
      <w:proofErr w:type="spellEnd"/>
      <w:r w:rsidRPr="00311817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B12E46" w:rsidRDefault="00B12E46">
      <w:bookmarkStart w:id="0" w:name="_GoBack"/>
      <w:bookmarkEnd w:id="0"/>
    </w:p>
    <w:sectPr w:rsidR="00B1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CC5"/>
    <w:multiLevelType w:val="multilevel"/>
    <w:tmpl w:val="5C08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268CB"/>
    <w:multiLevelType w:val="multilevel"/>
    <w:tmpl w:val="F80C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17"/>
    <w:rsid w:val="00311817"/>
    <w:rsid w:val="00550EF0"/>
    <w:rsid w:val="00B12E46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2</cp:revision>
  <dcterms:created xsi:type="dcterms:W3CDTF">2020-02-29T03:11:00Z</dcterms:created>
  <dcterms:modified xsi:type="dcterms:W3CDTF">2020-03-01T11:12:00Z</dcterms:modified>
</cp:coreProperties>
</file>